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F5" w:rsidRDefault="009D6EF5"/>
    <w:p w:rsidR="00561683" w:rsidRPr="00561683" w:rsidRDefault="00561683" w:rsidP="00561683">
      <w:pPr>
        <w:spacing w:line="240" w:lineRule="auto"/>
        <w:jc w:val="center"/>
        <w:rPr>
          <w:rFonts w:ascii="Bahnschrift" w:eastAsia="Arial" w:hAnsi="Bahnschrift" w:cstheme="minorHAnsi"/>
          <w:b/>
          <w:sz w:val="28"/>
          <w:lang w:val="el-GR"/>
        </w:rPr>
      </w:pPr>
      <w:r w:rsidRPr="00561683">
        <w:rPr>
          <w:rFonts w:ascii="Bahnschrift" w:eastAsia="Arial" w:hAnsi="Bahnschrift" w:cstheme="minorHAnsi"/>
          <w:b/>
          <w:sz w:val="28"/>
          <w:lang w:val="el-GR"/>
        </w:rPr>
        <w:t xml:space="preserve">Πληροφορίες για την ασφάλιση του οχήματος </w:t>
      </w:r>
    </w:p>
    <w:p w:rsidR="00561683" w:rsidRPr="00561683" w:rsidRDefault="00561683" w:rsidP="00561683">
      <w:pPr>
        <w:spacing w:line="240" w:lineRule="auto"/>
        <w:jc w:val="center"/>
        <w:rPr>
          <w:rFonts w:ascii="Bahnschrift" w:eastAsia="Arial" w:hAnsi="Bahnschrift" w:cstheme="minorHAnsi"/>
          <w:b/>
          <w:sz w:val="28"/>
          <w:lang w:val="el-GR"/>
        </w:rPr>
      </w:pPr>
      <w:r w:rsidRPr="00561683">
        <w:rPr>
          <w:rFonts w:ascii="Bahnschrift" w:eastAsia="Arial" w:hAnsi="Bahnschrift" w:cstheme="minorHAnsi"/>
          <w:b/>
          <w:sz w:val="28"/>
          <w:lang w:val="el-GR"/>
        </w:rPr>
        <w:t xml:space="preserve">που μισθώσατε από την </w:t>
      </w:r>
      <w:proofErr w:type="spellStart"/>
      <w:r w:rsidRPr="00561683">
        <w:rPr>
          <w:rFonts w:ascii="Bahnschrift" w:eastAsia="Arial" w:hAnsi="Bahnschrift" w:cstheme="minorHAnsi"/>
          <w:b/>
          <w:sz w:val="28"/>
          <w:lang w:val="en-US"/>
        </w:rPr>
        <w:t>Arval</w:t>
      </w:r>
      <w:proofErr w:type="spellEnd"/>
      <w:r w:rsidRPr="00561683">
        <w:rPr>
          <w:rFonts w:ascii="Bahnschrift" w:eastAsia="Arial" w:hAnsi="Bahnschrift" w:cstheme="minorHAnsi"/>
          <w:b/>
          <w:sz w:val="28"/>
          <w:lang w:val="el-GR"/>
        </w:rPr>
        <w:t xml:space="preserve"> </w:t>
      </w:r>
      <w:r w:rsidRPr="00561683">
        <w:rPr>
          <w:rFonts w:ascii="Bahnschrift" w:eastAsia="Arial" w:hAnsi="Bahnschrift" w:cstheme="minorHAnsi"/>
          <w:b/>
          <w:sz w:val="28"/>
          <w:lang w:val="en-US"/>
        </w:rPr>
        <w:t>Hellas</w:t>
      </w:r>
      <w:r w:rsidRPr="00561683">
        <w:rPr>
          <w:rFonts w:ascii="Bahnschrift" w:eastAsia="Arial" w:hAnsi="Bahnschrift" w:cstheme="minorHAnsi"/>
          <w:b/>
          <w:sz w:val="28"/>
          <w:lang w:val="el-GR"/>
        </w:rPr>
        <w:t xml:space="preserve"> (“</w:t>
      </w:r>
      <w:proofErr w:type="spellStart"/>
      <w:r w:rsidRPr="00561683">
        <w:rPr>
          <w:rFonts w:ascii="Bahnschrift" w:eastAsia="Arial" w:hAnsi="Bahnschrift" w:cstheme="minorHAnsi"/>
          <w:b/>
          <w:sz w:val="28"/>
          <w:lang w:val="en-US"/>
        </w:rPr>
        <w:t>Arval</w:t>
      </w:r>
      <w:proofErr w:type="spellEnd"/>
      <w:r w:rsidRPr="00561683">
        <w:rPr>
          <w:rFonts w:ascii="Bahnschrift" w:eastAsia="Arial" w:hAnsi="Bahnschrift" w:cstheme="minorHAnsi"/>
          <w:b/>
          <w:sz w:val="28"/>
          <w:lang w:val="el-GR"/>
        </w:rPr>
        <w:t>”)</w:t>
      </w:r>
    </w:p>
    <w:p w:rsidR="00561683" w:rsidRPr="00561683" w:rsidRDefault="00561683" w:rsidP="00561683">
      <w:pPr>
        <w:spacing w:line="240" w:lineRule="auto"/>
        <w:jc w:val="center"/>
        <w:rPr>
          <w:rFonts w:ascii="Bahnschrift" w:hAnsi="Bahnschrift" w:cstheme="minorHAnsi"/>
          <w:b/>
          <w:bCs/>
          <w:sz w:val="22"/>
          <w:lang w:val="el-GR"/>
        </w:rPr>
      </w:pPr>
    </w:p>
    <w:p w:rsidR="00561683" w:rsidRPr="00561683" w:rsidRDefault="00561683" w:rsidP="0056168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Bahnschrift" w:eastAsia="Arial" w:hAnsi="Bahnschrift" w:cstheme="minorHAnsi"/>
          <w:sz w:val="24"/>
        </w:rPr>
      </w:pPr>
      <w:r w:rsidRPr="00561683">
        <w:rPr>
          <w:rFonts w:ascii="Bahnschrift" w:eastAsia="Arial" w:hAnsi="Bahnschrift" w:cstheme="minorHAnsi"/>
          <w:sz w:val="24"/>
        </w:rPr>
        <w:t>Για το έτος 2023 η</w:t>
      </w:r>
      <w:r w:rsidRPr="00561683">
        <w:rPr>
          <w:rFonts w:ascii="Bahnschrift" w:hAnsi="Bahnschrift" w:cstheme="minorHAnsi"/>
          <w:bCs/>
          <w:sz w:val="24"/>
        </w:rPr>
        <w:t xml:space="preserve"> </w:t>
      </w:r>
      <w:proofErr w:type="spellStart"/>
      <w:r w:rsidRPr="00561683">
        <w:rPr>
          <w:rFonts w:ascii="Bahnschrift" w:hAnsi="Bahnschrift" w:cstheme="minorHAnsi"/>
          <w:bCs/>
          <w:sz w:val="24"/>
          <w:lang w:val="en-US"/>
        </w:rPr>
        <w:t>Arval</w:t>
      </w:r>
      <w:proofErr w:type="spellEnd"/>
      <w:r w:rsidRPr="00561683">
        <w:rPr>
          <w:rFonts w:ascii="Bahnschrift" w:hAnsi="Bahnschrift" w:cstheme="minorHAnsi"/>
          <w:bCs/>
          <w:sz w:val="24"/>
        </w:rPr>
        <w:t xml:space="preserve"> έχει ασφαλίσει τα οχήματά της στην </w:t>
      </w:r>
      <w:r w:rsidRPr="00561683">
        <w:rPr>
          <w:rFonts w:ascii="Bahnschrift" w:eastAsia="Arial" w:hAnsi="Bahnschrift" w:cstheme="minorHAnsi"/>
          <w:sz w:val="24"/>
        </w:rPr>
        <w:t xml:space="preserve">ασφαλιστική </w:t>
      </w:r>
      <w:r w:rsidRPr="00561683">
        <w:rPr>
          <w:rFonts w:ascii="Bahnschrift" w:eastAsia="Arial" w:hAnsi="Bahnschrift" w:cstheme="minorHAnsi"/>
          <w:spacing w:val="1"/>
          <w:sz w:val="24"/>
        </w:rPr>
        <w:t>ετ</w:t>
      </w:r>
      <w:r w:rsidRPr="00561683">
        <w:rPr>
          <w:rFonts w:ascii="Bahnschrift" w:eastAsia="Arial" w:hAnsi="Bahnschrift" w:cstheme="minorHAnsi"/>
          <w:sz w:val="24"/>
        </w:rPr>
        <w:t>α</w:t>
      </w:r>
      <w:r w:rsidRPr="00561683">
        <w:rPr>
          <w:rFonts w:ascii="Bahnschrift" w:eastAsia="Arial" w:hAnsi="Bahnschrift" w:cstheme="minorHAnsi"/>
          <w:spacing w:val="2"/>
          <w:sz w:val="24"/>
        </w:rPr>
        <w:t>ι</w:t>
      </w:r>
      <w:r w:rsidRPr="00561683">
        <w:rPr>
          <w:rFonts w:ascii="Bahnschrift" w:eastAsia="Arial" w:hAnsi="Bahnschrift" w:cstheme="minorHAnsi"/>
          <w:spacing w:val="-2"/>
          <w:sz w:val="24"/>
        </w:rPr>
        <w:t>ρ</w:t>
      </w:r>
      <w:r w:rsidRPr="00561683">
        <w:rPr>
          <w:rFonts w:ascii="Bahnschrift" w:eastAsia="Arial" w:hAnsi="Bahnschrift" w:cstheme="minorHAnsi"/>
          <w:spacing w:val="2"/>
          <w:sz w:val="24"/>
        </w:rPr>
        <w:t>ί</w:t>
      </w:r>
      <w:r w:rsidRPr="00561683">
        <w:rPr>
          <w:rFonts w:ascii="Bahnschrift" w:eastAsia="Arial" w:hAnsi="Bahnschrift" w:cstheme="minorHAnsi"/>
          <w:sz w:val="24"/>
        </w:rPr>
        <w:t>α «ΙΝΤΕΡΑΜΕΡΙΚΑΝ ΕΛΛΗΝΙΚΗ ΕΤΑΙΡΙΑ ΑΣΦΑΛΙΣΕΩΝ ΖΗΜΙΩΝ ΜΟΝΟΠΡΟΣΩΠΗ ΑΕ» (“</w:t>
      </w:r>
      <w:proofErr w:type="spellStart"/>
      <w:r w:rsidRPr="00561683">
        <w:rPr>
          <w:rFonts w:ascii="Bahnschrift" w:hAnsi="Bahnschrift" w:cstheme="minorHAnsi"/>
          <w:sz w:val="24"/>
          <w:lang w:val="en-US"/>
        </w:rPr>
        <w:t>Interamerican</w:t>
      </w:r>
      <w:proofErr w:type="spellEnd"/>
      <w:r w:rsidRPr="00561683">
        <w:rPr>
          <w:rFonts w:ascii="Bahnschrift" w:hAnsi="Bahnschrift" w:cstheme="minorHAnsi"/>
          <w:sz w:val="24"/>
        </w:rPr>
        <w:t>”)</w:t>
      </w:r>
      <w:r w:rsidRPr="00561683">
        <w:rPr>
          <w:rFonts w:ascii="Bahnschrift" w:eastAsia="Arial" w:hAnsi="Bahnschrift" w:cstheme="minorHAnsi"/>
          <w:sz w:val="24"/>
        </w:rPr>
        <w:t>.</w:t>
      </w:r>
    </w:p>
    <w:p w:rsidR="00561683" w:rsidRPr="00561683" w:rsidRDefault="00561683" w:rsidP="00561683">
      <w:pPr>
        <w:pStyle w:val="ListParagraph"/>
        <w:spacing w:line="240" w:lineRule="auto"/>
        <w:jc w:val="both"/>
        <w:rPr>
          <w:rFonts w:ascii="Bahnschrift" w:eastAsia="Arial" w:hAnsi="Bahnschrift" w:cstheme="minorHAnsi"/>
          <w:sz w:val="24"/>
        </w:rPr>
      </w:pPr>
    </w:p>
    <w:p w:rsidR="00561683" w:rsidRPr="00561683" w:rsidRDefault="00561683" w:rsidP="0056168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Bahnschrift" w:eastAsia="Arial" w:hAnsi="Bahnschrift" w:cstheme="minorHAnsi"/>
          <w:sz w:val="24"/>
        </w:rPr>
      </w:pPr>
      <w:r w:rsidRPr="00561683">
        <w:rPr>
          <w:rFonts w:ascii="Bahnschrift" w:eastAsia="Arial" w:hAnsi="Bahnschrift" w:cstheme="minorHAnsi"/>
          <w:sz w:val="24"/>
        </w:rPr>
        <w:t>Το όχημα είναι ασφαλισμένο για τους ακόλουθους κινδύνους: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</w:rPr>
      </w:pPr>
      <w:r w:rsidRPr="00561683">
        <w:rPr>
          <w:rFonts w:ascii="Bahnschrift" w:hAnsi="Bahnschrift" w:cstheme="minorHAnsi"/>
          <w:sz w:val="22"/>
        </w:rPr>
        <w:t>Υπ</w:t>
      </w:r>
      <w:proofErr w:type="spellStart"/>
      <w:r w:rsidRPr="00561683">
        <w:rPr>
          <w:rFonts w:ascii="Bahnschrift" w:hAnsi="Bahnschrift" w:cstheme="minorHAnsi"/>
          <w:sz w:val="22"/>
        </w:rPr>
        <w:t>οχρεωτική</w:t>
      </w:r>
      <w:proofErr w:type="spellEnd"/>
      <w:r w:rsidRPr="00561683">
        <w:rPr>
          <w:rFonts w:ascii="Bahnschrift" w:hAnsi="Bahnschrift" w:cstheme="minorHAnsi"/>
          <w:sz w:val="22"/>
        </w:rPr>
        <w:t xml:space="preserve"> α</w:t>
      </w:r>
      <w:proofErr w:type="spellStart"/>
      <w:r w:rsidRPr="00561683">
        <w:rPr>
          <w:rFonts w:ascii="Bahnschrift" w:hAnsi="Bahnschrift" w:cstheme="minorHAnsi"/>
          <w:sz w:val="22"/>
        </w:rPr>
        <w:t>στική</w:t>
      </w:r>
      <w:proofErr w:type="spellEnd"/>
      <w:r w:rsidRPr="00561683">
        <w:rPr>
          <w:rFonts w:ascii="Bahnschrift" w:hAnsi="Bahnschrift" w:cstheme="minorHAnsi"/>
          <w:sz w:val="22"/>
        </w:rPr>
        <w:t xml:space="preserve"> </w:t>
      </w:r>
      <w:proofErr w:type="spellStart"/>
      <w:r w:rsidRPr="00561683">
        <w:rPr>
          <w:rFonts w:ascii="Bahnschrift" w:hAnsi="Bahnschrift" w:cstheme="minorHAnsi"/>
          <w:sz w:val="22"/>
        </w:rPr>
        <w:t>ευθύνη</w:t>
      </w:r>
      <w:proofErr w:type="spellEnd"/>
      <w:r w:rsidRPr="00561683">
        <w:rPr>
          <w:rFonts w:ascii="Bahnschrift" w:hAnsi="Bahnschrift" w:cstheme="minorHAnsi"/>
          <w:sz w:val="22"/>
        </w:rPr>
        <w:t xml:space="preserve"> π</w:t>
      </w:r>
      <w:proofErr w:type="spellStart"/>
      <w:r w:rsidRPr="00561683">
        <w:rPr>
          <w:rFonts w:ascii="Bahnschrift" w:hAnsi="Bahnschrift" w:cstheme="minorHAnsi"/>
          <w:sz w:val="22"/>
        </w:rPr>
        <w:t>ρος</w:t>
      </w:r>
      <w:proofErr w:type="spellEnd"/>
      <w:r w:rsidRPr="00561683">
        <w:rPr>
          <w:rFonts w:ascii="Bahnschrift" w:hAnsi="Bahnschrift" w:cstheme="minorHAnsi"/>
          <w:sz w:val="22"/>
        </w:rPr>
        <w:t xml:space="preserve"> </w:t>
      </w:r>
      <w:proofErr w:type="spellStart"/>
      <w:r w:rsidRPr="00561683">
        <w:rPr>
          <w:rFonts w:ascii="Bahnschrift" w:hAnsi="Bahnschrift" w:cstheme="minorHAnsi"/>
          <w:sz w:val="22"/>
        </w:rPr>
        <w:t>τρίτους</w:t>
      </w:r>
      <w:proofErr w:type="spellEnd"/>
      <w:r w:rsidRPr="00561683">
        <w:rPr>
          <w:rFonts w:ascii="Bahnschrift" w:hAnsi="Bahnschrift" w:cstheme="minorHAnsi"/>
          <w:sz w:val="22"/>
        </w:rPr>
        <w:t xml:space="preserve"> </w:t>
      </w:r>
    </w:p>
    <w:p w:rsidR="00561683" w:rsidRPr="00561683" w:rsidRDefault="00561683" w:rsidP="00561683">
      <w:pPr>
        <w:widowControl/>
        <w:numPr>
          <w:ilvl w:val="1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>Σωματικές Βλάβες προς τρίτους μέχρι του ποσού των €1.300.000 ανά θύμα</w:t>
      </w:r>
    </w:p>
    <w:p w:rsidR="00561683" w:rsidRPr="00561683" w:rsidRDefault="00561683" w:rsidP="00561683">
      <w:pPr>
        <w:widowControl/>
        <w:numPr>
          <w:ilvl w:val="1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>Υλικές Ζημιές προς τρίτους μέχρι του ποσού των €1.300.000 ανά ατύχημα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</w:rPr>
      </w:pPr>
      <w:proofErr w:type="spellStart"/>
      <w:r w:rsidRPr="00561683">
        <w:rPr>
          <w:rFonts w:ascii="Bahnschrift" w:hAnsi="Bahnschrift" w:cstheme="minorHAnsi"/>
          <w:sz w:val="22"/>
        </w:rPr>
        <w:t>Υλικές</w:t>
      </w:r>
      <w:proofErr w:type="spellEnd"/>
      <w:r w:rsidRPr="00561683">
        <w:rPr>
          <w:rFonts w:ascii="Bahnschrift" w:hAnsi="Bahnschrift" w:cstheme="minorHAnsi"/>
          <w:sz w:val="22"/>
        </w:rPr>
        <w:t xml:space="preserve"> </w:t>
      </w:r>
      <w:proofErr w:type="spellStart"/>
      <w:r w:rsidRPr="00561683">
        <w:rPr>
          <w:rFonts w:ascii="Bahnschrift" w:hAnsi="Bahnschrift" w:cstheme="minorHAnsi"/>
          <w:sz w:val="22"/>
        </w:rPr>
        <w:t>Ζημιές</w:t>
      </w:r>
      <w:proofErr w:type="spellEnd"/>
      <w:r w:rsidRPr="00561683">
        <w:rPr>
          <w:rFonts w:ascii="Bahnschrift" w:hAnsi="Bahnschrift" w:cstheme="minorHAnsi"/>
          <w:sz w:val="22"/>
        </w:rPr>
        <w:t xml:space="preserve"> από ανα</w:t>
      </w:r>
      <w:proofErr w:type="spellStart"/>
      <w:r w:rsidRPr="00561683">
        <w:rPr>
          <w:rFonts w:ascii="Bahnschrift" w:hAnsi="Bahnschrift" w:cstheme="minorHAnsi"/>
          <w:sz w:val="22"/>
        </w:rPr>
        <w:t>σφάλιστο</w:t>
      </w:r>
      <w:proofErr w:type="spellEnd"/>
      <w:r w:rsidRPr="00561683">
        <w:rPr>
          <w:rFonts w:ascii="Bahnschrift" w:hAnsi="Bahnschrift" w:cstheme="minorHAnsi"/>
          <w:sz w:val="22"/>
        </w:rPr>
        <w:t xml:space="preserve"> </w:t>
      </w:r>
      <w:proofErr w:type="spellStart"/>
      <w:r w:rsidRPr="00561683">
        <w:rPr>
          <w:rFonts w:ascii="Bahnschrift" w:hAnsi="Bahnschrift" w:cstheme="minorHAnsi"/>
          <w:sz w:val="22"/>
        </w:rPr>
        <w:t>όχημ</w:t>
      </w:r>
      <w:proofErr w:type="spellEnd"/>
      <w:r w:rsidRPr="00561683">
        <w:rPr>
          <w:rFonts w:ascii="Bahnschrift" w:hAnsi="Bahnschrift" w:cstheme="minorHAnsi"/>
          <w:sz w:val="22"/>
        </w:rPr>
        <w:t xml:space="preserve">α 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>Προσωπικό ατύχημα οδηγού μέχρι του ποσού των  €15.000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>Οδική Βοήθεια (Οδική βοήθεια για βλάβη, Οδική βοήθεια σε Ατύχημα και Φροντίδα Ατυχήματος)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 xml:space="preserve">Φυσικά Φαινόμενα, ενδεικτικά και όχι περιοριστικά,  πλημμύρα, χαλάζι, χιόνι, θύελλα, τυφώνα, έκρηξη ηφαιστείου ή σεισμό, με όριο ευθύνης την δηλωθείσα αξία οχήματος. Πυρός, Τρομοκρατικές Ενέργειες, Στάσεις, Απεργίες, Οχλαγωγίες με όριο ευθύνης την δηλωθείσα αξία οχήματος.  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>Θραύση Κρυστάλλων με όριο ευθύνης 1.000€ .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 xml:space="preserve">Ολική &amp; Μερική Κλοπή με όριο ευθύνης την δηλωθείσα αξία οχήματος.  </w:t>
      </w:r>
    </w:p>
    <w:p w:rsidR="00561683" w:rsidRPr="00561683" w:rsidRDefault="00561683" w:rsidP="00561683">
      <w:pPr>
        <w:widowControl/>
        <w:numPr>
          <w:ilvl w:val="0"/>
          <w:numId w:val="19"/>
        </w:numPr>
        <w:autoSpaceDE/>
        <w:autoSpaceDN/>
        <w:adjustRightInd/>
        <w:spacing w:after="160" w:line="240" w:lineRule="auto"/>
        <w:jc w:val="left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 xml:space="preserve">Ίδιες Ζημιές &amp; Κακόβουλες Βλάβες με όριο ευθύνης την δηλωθείσα αξία οχήματος. </w:t>
      </w:r>
    </w:p>
    <w:p w:rsidR="00561683" w:rsidRPr="00561683" w:rsidRDefault="00561683" w:rsidP="00561683">
      <w:pPr>
        <w:pStyle w:val="ListParagraph"/>
        <w:numPr>
          <w:ilvl w:val="0"/>
          <w:numId w:val="22"/>
        </w:numPr>
        <w:spacing w:line="240" w:lineRule="auto"/>
        <w:rPr>
          <w:rFonts w:ascii="Bahnschrift" w:hAnsi="Bahnschrift" w:cstheme="minorHAnsi"/>
          <w:sz w:val="24"/>
        </w:rPr>
      </w:pPr>
      <w:r w:rsidRPr="00561683">
        <w:rPr>
          <w:rFonts w:ascii="Bahnschrift" w:hAnsi="Bahnschrift" w:cstheme="minorHAnsi"/>
          <w:sz w:val="24"/>
        </w:rPr>
        <w:t>Απαλλαγές:</w:t>
      </w:r>
    </w:p>
    <w:p w:rsidR="00561683" w:rsidRDefault="00561683" w:rsidP="00561683">
      <w:pPr>
        <w:spacing w:line="240" w:lineRule="auto"/>
        <w:ind w:left="720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>Για τις ασφαλιστικές καλύψεις με αριθ. 5, 7 και 8 εφαρμόζεται απαλλαγή 300,00 ευρώ σε κάθε ζημιά.</w:t>
      </w:r>
    </w:p>
    <w:p w:rsidR="00561683" w:rsidRPr="00561683" w:rsidRDefault="00561683" w:rsidP="00561683">
      <w:pPr>
        <w:spacing w:line="240" w:lineRule="auto"/>
        <w:ind w:left="720"/>
        <w:rPr>
          <w:rFonts w:ascii="Bahnschrift" w:hAnsi="Bahnschrift" w:cstheme="minorHAnsi"/>
          <w:sz w:val="22"/>
          <w:lang w:val="el-GR"/>
        </w:rPr>
      </w:pPr>
      <w:bookmarkStart w:id="0" w:name="_GoBack"/>
      <w:bookmarkEnd w:id="0"/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after="160" w:line="240" w:lineRule="auto"/>
        <w:rPr>
          <w:rFonts w:ascii="Bahnschrift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 xml:space="preserve"> Σε ζημιογόνο γεγονός μεταξύ δύο ή περισσοτέρων οχημάτων ιδιοκτησίας της </w:t>
      </w:r>
      <w:proofErr w:type="spellStart"/>
      <w:r w:rsidRPr="00561683">
        <w:rPr>
          <w:rFonts w:ascii="Bahnschrift" w:hAnsi="Bahnschrift" w:cstheme="minorHAnsi"/>
          <w:sz w:val="22"/>
          <w:lang w:val="el-GR"/>
        </w:rPr>
        <w:t>ασφαλιζόμενης</w:t>
      </w:r>
      <w:proofErr w:type="spellEnd"/>
      <w:r w:rsidRPr="00561683">
        <w:rPr>
          <w:rFonts w:ascii="Bahnschrift" w:hAnsi="Bahnschrift" w:cstheme="minorHAnsi"/>
          <w:sz w:val="22"/>
          <w:lang w:val="el-GR"/>
        </w:rPr>
        <w:t xml:space="preserve"> εταιρείας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Arval</w:t>
      </w:r>
      <w:proofErr w:type="spellEnd"/>
      <w:r w:rsidRPr="00561683">
        <w:rPr>
          <w:rFonts w:ascii="Bahnschrift" w:hAnsi="Bahnschrift" w:cstheme="minorHAnsi"/>
          <w:sz w:val="22"/>
          <w:lang w:val="el-GR"/>
        </w:rPr>
        <w:t xml:space="preserve">, η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hAnsi="Bahnschrift" w:cstheme="minorHAnsi"/>
          <w:sz w:val="22"/>
          <w:lang w:val="el-GR"/>
        </w:rPr>
        <w:t xml:space="preserve">  υποχρεούται να αποζημιώσει κανονικά τους παθόντες, συμπεριφερόμενη σε αυτούς σαν να ήταν τρίτοι, με την προϋπόθεση ότι το συμβάν θα έχει καταγραφεί παρουσία της τροχαίας ή/και της φροντίδας ατυχήματος, εξαιρουμένων των περιπτώσεων που τα ζημιωθέντα οχήματα έχουν μισθωθεί από το ίδιο φυσικό ή νομικό πρόσωπο.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t xml:space="preserve">Σε περίπτωση ατυχήματος που θα προκληθεί με υπαιτιότητα του οδηγού του ασφαλισμένου οχήματος, ο οποίος ήταν σε κατάσταση μέθης ή υπό την επήρεια τοξικών απαγορευμένων ουσιών η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 μετά την αποζημίωση των παθόντων, δεν θα διεκδικήσει την αποκατάσταση της ζημιάς της από την 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Arval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, αλλά απευθείας από τον υπαίτιο οδηγό του ασφαλισμένου οχήματος. Σε αυτή την περίπτωση, η </w:t>
      </w:r>
      <w:proofErr w:type="spellStart"/>
      <w:r w:rsidRPr="00561683">
        <w:rPr>
          <w:rFonts w:ascii="Bahnschrift" w:eastAsia="Calibri" w:hAnsi="Bahnschrift" w:cstheme="minorHAnsi"/>
          <w:sz w:val="22"/>
          <w:lang w:val="el-GR"/>
        </w:rPr>
        <w:t>ασφαλιζόμενη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εταιρεία 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Arval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υποχρεούται να παρέχει στην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 κάθε σχετική πληροφορία και δυνατή βοήθεια.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lastRenderedPageBreak/>
        <w:t xml:space="preserve">Για ζημιές που θα προκληθούν εξαιτίας υπέρβαρου φορτίου στο ασφαλισμένο όχημα, η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 μετά την αποζημίωση των παθόντων, δεν θα διεκδικήσει την αποκατάσταση της ζημιάς της από την 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Arval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αλλά απευθείας από τον υπαίτιο οδηγό του ασφαλισμένου οχήματος</w:t>
      </w:r>
      <w:r w:rsidRPr="00561683">
        <w:rPr>
          <w:rFonts w:ascii="Bahnschrift" w:hAnsi="Bahnschrift" w:cstheme="minorHAnsi"/>
          <w:sz w:val="22"/>
          <w:lang w:val="el-GR"/>
        </w:rPr>
        <w:t xml:space="preserve"> ή/και την μισθώτρια εταιρία του ασφαλισμένου οχήματος</w:t>
      </w:r>
      <w:r w:rsidRPr="00561683">
        <w:rPr>
          <w:rFonts w:ascii="Bahnschrift" w:eastAsia="Calibri" w:hAnsi="Bahnschrift" w:cstheme="minorHAnsi"/>
          <w:sz w:val="22"/>
          <w:lang w:val="el-GR"/>
        </w:rPr>
        <w:t>.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t xml:space="preserve">Για ζημιές με υπαιτιότητα του ασφαλισμένου οδηγού, που θα προκληθούν κατά τον χρόνο που στο όχημα επιβαίνουν περισσότεροι επιβάτες από τους προβλεπόμενους στην άδεια κυκλοφορίας του, η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 μετά την αποζημίωση των παθόντων, δεν θα διεκδικήσει την αποκατάσταση της ζημιάς της από την 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Arval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αλλά απευθείας από τον υπαίτιο οδηγό του ασφαλισμένου οχήματος</w:t>
      </w:r>
      <w:r w:rsidRPr="00561683">
        <w:rPr>
          <w:rFonts w:ascii="Bahnschrift" w:hAnsi="Bahnschrift" w:cstheme="minorHAnsi"/>
          <w:sz w:val="22"/>
          <w:lang w:val="el-GR"/>
        </w:rPr>
        <w:t xml:space="preserve"> ή/και την μισθώτρια εταιρία του ασφαλισμένου οχήματος</w:t>
      </w:r>
      <w:r w:rsidRPr="00561683">
        <w:rPr>
          <w:rFonts w:ascii="Bahnschrift" w:eastAsia="Calibri" w:hAnsi="Bahnschrift" w:cstheme="minorHAnsi"/>
          <w:sz w:val="22"/>
          <w:lang w:val="el-GR"/>
        </w:rPr>
        <w:t xml:space="preserve">. 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t xml:space="preserve">Η κάλυψη της Αστικής Ευθύνης για  </w:t>
      </w:r>
      <w:proofErr w:type="spellStart"/>
      <w:r w:rsidRPr="00561683">
        <w:rPr>
          <w:rFonts w:ascii="Bahnschrift" w:eastAsia="Calibri" w:hAnsi="Bahnschrift" w:cstheme="minorHAnsi"/>
          <w:sz w:val="22"/>
          <w:lang w:val="el-GR"/>
        </w:rPr>
        <w:t>ρυμουλκούμενο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, εφόσον το όχημα έχει ειδική άδεια ρυμούλκησης και το </w:t>
      </w:r>
      <w:proofErr w:type="spellStart"/>
      <w:r w:rsidRPr="00561683">
        <w:rPr>
          <w:rFonts w:ascii="Bahnschrift" w:eastAsia="Calibri" w:hAnsi="Bahnschrift" w:cstheme="minorHAnsi"/>
          <w:sz w:val="22"/>
          <w:lang w:val="el-GR"/>
        </w:rPr>
        <w:t>ρυμουλκούμενο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διαθέτει δική του άδεια κυκλοφορίας και πινακίδες, απαιτεί την  έκδοση ειδικού ασφαλιστηρίου .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t xml:space="preserve">Δεν εφαρμόζεται το άρθρο 13 με τίτλο «Τι ισχύει σε περίπτωση νέου οδηγού» των γενικών όρων ασφάλισης του Βιβλίου Όρων Ασφάλισης </w:t>
      </w:r>
      <w:r w:rsidRPr="00561683">
        <w:rPr>
          <w:rFonts w:ascii="Bahnschrift" w:eastAsia="Arial" w:hAnsi="Bahnschrift" w:cstheme="minorHAnsi"/>
          <w:sz w:val="22"/>
          <w:lang w:val="el-GR"/>
        </w:rPr>
        <w:t>(έκδοση 01.2021)</w:t>
      </w:r>
      <w:r w:rsidRPr="00561683">
        <w:rPr>
          <w:rFonts w:ascii="Bahnschrift" w:eastAsia="Calibri" w:hAnsi="Bahnschrift" w:cstheme="minorHAnsi"/>
          <w:sz w:val="22"/>
          <w:lang w:val="el-GR"/>
        </w:rPr>
        <w:t xml:space="preserve"> ως και τυχόν εξαιρέσεις από την ασφάλιση συνεπεία της οδήγησης του αυτοκινήτου από νέο οδηγό (όπως ενδεικτικά η προβλεπόμενη στο άρθρο 34 παρ. </w:t>
      </w:r>
      <w:r w:rsidRPr="00561683">
        <w:rPr>
          <w:rFonts w:ascii="Bahnschrift" w:eastAsia="Calibri" w:hAnsi="Bahnschrift" w:cstheme="minorHAnsi"/>
          <w:sz w:val="22"/>
        </w:rPr>
        <w:t xml:space="preserve">Β αρ. 8). 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t xml:space="preserve">Η έκδοση Πράσινων Καρτών  γίνεται κατ’ αίτημα της 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Arval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προς την </w:t>
      </w:r>
      <w:proofErr w:type="spellStart"/>
      <w:r w:rsidRPr="00561683">
        <w:rPr>
          <w:rFonts w:ascii="Bahnschrift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>.  Ειδικότερα οι συμπληρωματικές καλύψεις δύνανται να ισχύουν και κατά την κυκλοφορία του οχήματος στον εκτός Ελληνικής Επικράτειας χώρο μετά την έκδοση Πράσινης Κάρτας σε συνέχεια σχετικής ενημέρωσης της Α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rval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 xml:space="preserve"> προς την </w:t>
      </w:r>
      <w:proofErr w:type="spellStart"/>
      <w:r w:rsidRPr="00561683">
        <w:rPr>
          <w:rFonts w:ascii="Bahnschrift" w:eastAsia="Calibri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Calibri" w:hAnsi="Bahnschrift" w:cstheme="minorHAnsi"/>
          <w:sz w:val="22"/>
          <w:lang w:val="el-GR"/>
        </w:rPr>
        <w:t>.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Calibri" w:hAnsi="Bahnschrift" w:cstheme="minorHAnsi"/>
          <w:sz w:val="22"/>
          <w:lang w:val="el-GR"/>
        </w:rPr>
        <w:t xml:space="preserve">Οι ασφαλιστικές καλύψεις ισχύουν για τους κατόχους ξένης, αλλά νόμιμης άδειας ικανότητας οδηγού ακόμα και αν αυτή δεν συνοδεύεται από Διεθνές Δίπλωμα ή δεν αναγνωρίζεται στην Ελλάδα. 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hAnsi="Bahnschrift" w:cstheme="minorHAnsi"/>
          <w:sz w:val="22"/>
          <w:lang w:val="el-GR"/>
        </w:rPr>
        <w:t xml:space="preserve">Οι ασφαλιστικές καλύψεις  παρέχονται στα ασφαλισμένα οχήματα </w:t>
      </w:r>
      <w:r w:rsidRPr="00561683">
        <w:rPr>
          <w:rFonts w:ascii="Bahnschrift" w:eastAsia="Arial" w:hAnsi="Bahnschrift" w:cstheme="minorHAnsi"/>
          <w:sz w:val="22"/>
          <w:lang w:val="el-GR"/>
        </w:rPr>
        <w:t xml:space="preserve">κατά την κυκλοφορία τους </w:t>
      </w:r>
      <w:r w:rsidRPr="00561683">
        <w:rPr>
          <w:rFonts w:ascii="Bahnschrift" w:eastAsia="Arial" w:hAnsi="Bahnschrift" w:cstheme="minorHAnsi"/>
          <w:spacing w:val="1"/>
          <w:sz w:val="22"/>
          <w:lang w:val="el-GR"/>
        </w:rPr>
        <w:t>ε</w:t>
      </w:r>
      <w:r w:rsidRPr="00561683">
        <w:rPr>
          <w:rFonts w:ascii="Bahnschrift" w:eastAsia="Arial" w:hAnsi="Bahnschrift" w:cstheme="minorHAnsi"/>
          <w:spacing w:val="-2"/>
          <w:sz w:val="22"/>
          <w:lang w:val="el-GR"/>
        </w:rPr>
        <w:t>ν</w:t>
      </w:r>
      <w:r w:rsidRPr="00561683">
        <w:rPr>
          <w:rFonts w:ascii="Bahnschrift" w:eastAsia="Arial" w:hAnsi="Bahnschrift" w:cstheme="minorHAnsi"/>
          <w:spacing w:val="1"/>
          <w:sz w:val="22"/>
          <w:lang w:val="el-GR"/>
        </w:rPr>
        <w:t>τό</w:t>
      </w:r>
      <w:r w:rsidRPr="00561683">
        <w:rPr>
          <w:rFonts w:ascii="Bahnschrift" w:eastAsia="Arial" w:hAnsi="Bahnschrift" w:cstheme="minorHAnsi"/>
          <w:sz w:val="22"/>
          <w:lang w:val="el-GR"/>
        </w:rPr>
        <w:t>ς</w:t>
      </w:r>
      <w:r w:rsidRPr="00561683">
        <w:rPr>
          <w:rFonts w:ascii="Bahnschrift" w:eastAsia="Arial" w:hAnsi="Bahnschrift" w:cstheme="minorHAnsi"/>
          <w:spacing w:val="64"/>
          <w:sz w:val="22"/>
          <w:lang w:val="el-GR"/>
        </w:rPr>
        <w:t xml:space="preserve"> </w:t>
      </w:r>
      <w:r w:rsidRPr="00561683">
        <w:rPr>
          <w:rFonts w:ascii="Bahnschrift" w:eastAsia="Arial" w:hAnsi="Bahnschrift" w:cstheme="minorHAnsi"/>
          <w:spacing w:val="1"/>
          <w:sz w:val="22"/>
          <w:lang w:val="el-GR"/>
        </w:rPr>
        <w:t>τη</w:t>
      </w:r>
      <w:r w:rsidRPr="00561683">
        <w:rPr>
          <w:rFonts w:ascii="Bahnschrift" w:eastAsia="Arial" w:hAnsi="Bahnschrift" w:cstheme="minorHAnsi"/>
          <w:sz w:val="22"/>
          <w:lang w:val="el-GR"/>
        </w:rPr>
        <w:t>ς</w:t>
      </w:r>
      <w:r w:rsidRPr="00561683">
        <w:rPr>
          <w:rFonts w:ascii="Bahnschrift" w:eastAsia="Arial" w:hAnsi="Bahnschrift" w:cstheme="minorHAnsi"/>
          <w:spacing w:val="64"/>
          <w:sz w:val="22"/>
          <w:lang w:val="el-GR"/>
        </w:rPr>
        <w:t xml:space="preserve"> </w:t>
      </w:r>
      <w:r w:rsidRPr="00561683">
        <w:rPr>
          <w:rFonts w:ascii="Bahnschrift" w:eastAsia="Arial" w:hAnsi="Bahnschrift" w:cstheme="minorHAnsi"/>
          <w:sz w:val="22"/>
          <w:lang w:val="el-GR"/>
        </w:rPr>
        <w:t>Ελλ</w:t>
      </w:r>
      <w:r w:rsidRPr="00561683">
        <w:rPr>
          <w:rFonts w:ascii="Bahnschrift" w:eastAsia="Arial" w:hAnsi="Bahnschrift" w:cstheme="minorHAnsi"/>
          <w:spacing w:val="1"/>
          <w:sz w:val="22"/>
          <w:lang w:val="el-GR"/>
        </w:rPr>
        <w:t>η</w:t>
      </w:r>
      <w:r w:rsidRPr="00561683">
        <w:rPr>
          <w:rFonts w:ascii="Bahnschrift" w:eastAsia="Arial" w:hAnsi="Bahnschrift" w:cstheme="minorHAnsi"/>
          <w:spacing w:val="-2"/>
          <w:sz w:val="22"/>
          <w:lang w:val="el-GR"/>
        </w:rPr>
        <w:t>ν</w:t>
      </w:r>
      <w:r w:rsidRPr="00561683">
        <w:rPr>
          <w:rFonts w:ascii="Bahnschrift" w:eastAsia="Arial" w:hAnsi="Bahnschrift" w:cstheme="minorHAnsi"/>
          <w:spacing w:val="2"/>
          <w:sz w:val="22"/>
          <w:lang w:val="el-GR"/>
        </w:rPr>
        <w:t>ι</w:t>
      </w:r>
      <w:r w:rsidRPr="00561683">
        <w:rPr>
          <w:rFonts w:ascii="Bahnschrift" w:eastAsia="Arial" w:hAnsi="Bahnschrift" w:cstheme="minorHAnsi"/>
          <w:sz w:val="22"/>
          <w:lang w:val="el-GR"/>
        </w:rPr>
        <w:t>κ</w:t>
      </w:r>
      <w:r w:rsidRPr="00561683">
        <w:rPr>
          <w:rFonts w:ascii="Bahnschrift" w:eastAsia="Arial" w:hAnsi="Bahnschrift" w:cstheme="minorHAnsi"/>
          <w:spacing w:val="1"/>
          <w:sz w:val="22"/>
          <w:lang w:val="el-GR"/>
        </w:rPr>
        <w:t>ή</w:t>
      </w:r>
      <w:r w:rsidRPr="00561683">
        <w:rPr>
          <w:rFonts w:ascii="Bahnschrift" w:eastAsia="Arial" w:hAnsi="Bahnschrift" w:cstheme="minorHAnsi"/>
          <w:sz w:val="22"/>
          <w:lang w:val="el-GR"/>
        </w:rPr>
        <w:t>ς</w:t>
      </w:r>
      <w:r w:rsidRPr="00561683">
        <w:rPr>
          <w:rFonts w:ascii="Bahnschrift" w:eastAsia="Arial" w:hAnsi="Bahnschrift" w:cstheme="minorHAnsi"/>
          <w:spacing w:val="64"/>
          <w:sz w:val="22"/>
          <w:lang w:val="el-GR"/>
        </w:rPr>
        <w:t xml:space="preserve"> </w:t>
      </w:r>
      <w:r w:rsidRPr="00561683">
        <w:rPr>
          <w:rFonts w:ascii="Bahnschrift" w:eastAsia="Arial" w:hAnsi="Bahnschrift" w:cstheme="minorHAnsi"/>
          <w:sz w:val="22"/>
          <w:lang w:val="el-GR"/>
        </w:rPr>
        <w:t>Επικρά</w:t>
      </w:r>
      <w:r w:rsidRPr="00561683">
        <w:rPr>
          <w:rFonts w:ascii="Bahnschrift" w:eastAsia="Arial" w:hAnsi="Bahnschrift" w:cstheme="minorHAnsi"/>
          <w:spacing w:val="1"/>
          <w:sz w:val="22"/>
          <w:lang w:val="el-GR"/>
        </w:rPr>
        <w:t>τ</w:t>
      </w:r>
      <w:r w:rsidRPr="00561683">
        <w:rPr>
          <w:rFonts w:ascii="Bahnschrift" w:eastAsia="Arial" w:hAnsi="Bahnschrift" w:cstheme="minorHAnsi"/>
          <w:spacing w:val="-1"/>
          <w:sz w:val="22"/>
          <w:lang w:val="el-GR"/>
        </w:rPr>
        <w:t>ε</w:t>
      </w:r>
      <w:r w:rsidRPr="00561683">
        <w:rPr>
          <w:rFonts w:ascii="Bahnschrift" w:eastAsia="Arial" w:hAnsi="Bahnschrift" w:cstheme="minorHAnsi"/>
          <w:spacing w:val="2"/>
          <w:sz w:val="22"/>
          <w:lang w:val="el-GR"/>
        </w:rPr>
        <w:t>ι</w:t>
      </w:r>
      <w:r w:rsidRPr="00561683">
        <w:rPr>
          <w:rFonts w:ascii="Bahnschrift" w:eastAsia="Arial" w:hAnsi="Bahnschrift" w:cstheme="minorHAnsi"/>
          <w:sz w:val="22"/>
          <w:lang w:val="el-GR"/>
        </w:rPr>
        <w:t>ας εξαιρουμένων των χώρων των αεροδρομίων στους οποίους απαγορεύεται η ελεύθερη πρόσβαση στο κοινό.</w:t>
      </w:r>
    </w:p>
    <w:p w:rsidR="00561683" w:rsidRPr="00561683" w:rsidRDefault="00561683" w:rsidP="00561683">
      <w:pPr>
        <w:widowControl/>
        <w:numPr>
          <w:ilvl w:val="0"/>
          <w:numId w:val="20"/>
        </w:numPr>
        <w:autoSpaceDE/>
        <w:autoSpaceDN/>
        <w:adjustRightInd/>
        <w:spacing w:line="240" w:lineRule="auto"/>
        <w:rPr>
          <w:rFonts w:ascii="Bahnschrift" w:eastAsia="Calibri" w:hAnsi="Bahnschrift" w:cstheme="minorHAnsi"/>
          <w:sz w:val="22"/>
          <w:lang w:val="el-GR"/>
        </w:rPr>
      </w:pPr>
      <w:r w:rsidRPr="00561683">
        <w:rPr>
          <w:rFonts w:ascii="Bahnschrift" w:eastAsia="Arial" w:hAnsi="Bahnschrift" w:cstheme="minorHAnsi"/>
          <w:sz w:val="22"/>
          <w:lang w:val="el-GR"/>
        </w:rPr>
        <w:t xml:space="preserve">Για περισσότερες πληροφορίες για την ασφάλιση του οχήματος, μπορείτε να διαβάσετε το Βιβλίο Όρων Ασφάλισης Αυτοκινήτου της </w:t>
      </w:r>
      <w:proofErr w:type="spellStart"/>
      <w:r w:rsidRPr="00561683">
        <w:rPr>
          <w:rFonts w:ascii="Bahnschrift" w:eastAsia="Arial" w:hAnsi="Bahnschrift" w:cstheme="minorHAnsi"/>
          <w:sz w:val="22"/>
          <w:lang w:val="en-US"/>
        </w:rPr>
        <w:t>Interamerican</w:t>
      </w:r>
      <w:proofErr w:type="spellEnd"/>
      <w:r w:rsidRPr="00561683">
        <w:rPr>
          <w:rFonts w:ascii="Bahnschrift" w:eastAsia="Arial" w:hAnsi="Bahnschrift" w:cstheme="minorHAnsi"/>
          <w:sz w:val="22"/>
          <w:lang w:val="el-GR"/>
        </w:rPr>
        <w:t xml:space="preserve"> (έκδοση 01.2021).</w:t>
      </w:r>
    </w:p>
    <w:p w:rsidR="00561683" w:rsidRPr="00561683" w:rsidRDefault="00561683" w:rsidP="00561683">
      <w:pPr>
        <w:spacing w:line="240" w:lineRule="auto"/>
        <w:rPr>
          <w:rFonts w:ascii="Bahnschrift" w:eastAsia="Calibri" w:hAnsi="Bahnschrift" w:cstheme="minorHAnsi"/>
          <w:sz w:val="22"/>
          <w:lang w:val="el-GR"/>
        </w:rPr>
      </w:pPr>
    </w:p>
    <w:p w:rsidR="00561683" w:rsidRPr="00561683" w:rsidRDefault="00561683" w:rsidP="00561683">
      <w:pPr>
        <w:spacing w:line="240" w:lineRule="auto"/>
        <w:rPr>
          <w:rFonts w:ascii="Bahnschrift" w:hAnsi="Bahnschrift" w:cstheme="minorHAnsi"/>
          <w:sz w:val="22"/>
          <w:lang w:val="el-GR"/>
        </w:rPr>
      </w:pPr>
    </w:p>
    <w:p w:rsidR="00561683" w:rsidRPr="00561683" w:rsidRDefault="00561683" w:rsidP="00561683">
      <w:pPr>
        <w:spacing w:line="240" w:lineRule="auto"/>
        <w:rPr>
          <w:rFonts w:ascii="Bahnschrift" w:hAnsi="Bahnschrift" w:cstheme="minorHAnsi"/>
          <w:sz w:val="22"/>
          <w:lang w:val="el-GR"/>
        </w:rPr>
      </w:pPr>
    </w:p>
    <w:p w:rsidR="00580312" w:rsidRPr="00561683" w:rsidRDefault="00580312">
      <w:pPr>
        <w:rPr>
          <w:rFonts w:ascii="Bahnschrift" w:hAnsi="Bahnschrift"/>
          <w:sz w:val="22"/>
          <w:lang w:val="el-GR"/>
        </w:rPr>
      </w:pPr>
    </w:p>
    <w:sectPr w:rsidR="00580312" w:rsidRPr="00561683" w:rsidSect="009D6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48" w:right="1134" w:bottom="1701" w:left="175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7E" w:rsidRDefault="004E697E">
      <w:r>
        <w:separator/>
      </w:r>
    </w:p>
  </w:endnote>
  <w:endnote w:type="continuationSeparator" w:id="0">
    <w:p w:rsidR="004E697E" w:rsidRDefault="004E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lstom">
    <w:charset w:val="00"/>
    <w:family w:val="auto"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CB" w:rsidRDefault="00476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B9" w:rsidRPr="00085A62" w:rsidRDefault="00A664B9" w:rsidP="009D6EF5">
    <w:pPr>
      <w:pStyle w:val="Footer"/>
      <w:spacing w:before="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67"/>
    </w:tblGrid>
    <w:tr w:rsidR="00A664B9" w:rsidRPr="006E5161" w:rsidTr="00580312">
      <w:tc>
        <w:tcPr>
          <w:tcW w:w="9767" w:type="dxa"/>
        </w:tcPr>
        <w:p w:rsidR="006E5161" w:rsidRDefault="006E5161" w:rsidP="006E5161">
          <w:pPr>
            <w:pStyle w:val="Footer"/>
            <w:rPr>
              <w:color w:val="333333"/>
              <w:u w:color="333333"/>
            </w:rPr>
          </w:pPr>
          <w:proofErr w:type="spellStart"/>
          <w:r>
            <w:rPr>
              <w:b/>
              <w:bCs/>
              <w:lang w:val="en-US"/>
            </w:rPr>
            <w:t>Arval</w:t>
          </w:r>
          <w:proofErr w:type="spellEnd"/>
          <w:r>
            <w:rPr>
              <w:b/>
              <w:bCs/>
              <w:lang w:val="en-US"/>
            </w:rPr>
            <w:t xml:space="preserve"> </w:t>
          </w:r>
          <w:r>
            <w:rPr>
              <w:b/>
              <w:bCs/>
              <w:lang w:val="el-GR"/>
            </w:rPr>
            <w:t>Ελλάς Μονοπρόσωπη Α.Ε.</w:t>
          </w:r>
          <w:r>
            <w:rPr>
              <w:lang w:val="en-US"/>
            </w:rPr>
            <w:t xml:space="preserve"> – </w:t>
          </w:r>
          <w:r>
            <w:t>Λ</w:t>
          </w:r>
          <w:r>
            <w:rPr>
              <w:lang w:val="en-US"/>
            </w:rPr>
            <w:t xml:space="preserve">. </w:t>
          </w:r>
          <w:proofErr w:type="spellStart"/>
          <w:r>
            <w:t>Κύμης</w:t>
          </w:r>
          <w:proofErr w:type="spellEnd"/>
          <w:r>
            <w:rPr>
              <w:lang w:val="en-US"/>
            </w:rPr>
            <w:t xml:space="preserve"> 9 &amp; </w:t>
          </w:r>
          <w:proofErr w:type="spellStart"/>
          <w:r>
            <w:t>Σενέκ</w:t>
          </w:r>
          <w:proofErr w:type="spellEnd"/>
          <w:r>
            <w:t>α</w:t>
          </w:r>
          <w:r>
            <w:rPr>
              <w:lang w:val="en-US"/>
            </w:rPr>
            <w:t xml:space="preserve"> 10, 14564</w:t>
          </w:r>
          <w:r>
            <w:t xml:space="preserve"> </w:t>
          </w:r>
          <w:proofErr w:type="spellStart"/>
          <w:r>
            <w:t>Κηφισιά</w:t>
          </w:r>
          <w:proofErr w:type="spellEnd"/>
          <w:r>
            <w:t xml:space="preserve">, 2108772700, </w:t>
          </w:r>
          <w:hyperlink r:id="rId1" w:history="1">
            <w:r>
              <w:rPr>
                <w:rStyle w:val="Hyperlink0"/>
              </w:rPr>
              <w:t>www.arval.gr</w:t>
            </w:r>
          </w:hyperlink>
          <w:r>
            <w:rPr>
              <w:rStyle w:val="Hyperlink0"/>
            </w:rPr>
            <w:t xml:space="preserve"> </w:t>
          </w:r>
          <w:r>
            <w:rPr>
              <w:color w:val="333333"/>
              <w:u w:color="333333"/>
            </w:rPr>
            <w:t>ΑΦΜ</w:t>
          </w:r>
          <w:r w:rsidRPr="009B2A0E">
            <w:rPr>
              <w:color w:val="333333"/>
              <w:u w:color="333333"/>
              <w:lang w:val="en-US"/>
            </w:rPr>
            <w:t xml:space="preserve"> 0945 01851 </w:t>
          </w:r>
          <w:r>
            <w:rPr>
              <w:color w:val="333333"/>
              <w:u w:color="333333"/>
            </w:rPr>
            <w:t>ΦΑΕ</w:t>
          </w:r>
          <w:r w:rsidRPr="009B2A0E">
            <w:rPr>
              <w:color w:val="333333"/>
              <w:u w:color="333333"/>
              <w:lang w:val="en-US"/>
            </w:rPr>
            <w:t xml:space="preserve"> </w:t>
          </w:r>
          <w:r>
            <w:rPr>
              <w:color w:val="333333"/>
              <w:u w:color="333333"/>
            </w:rPr>
            <w:t>ΑΘΗΝΩΝ</w:t>
          </w:r>
        </w:p>
        <w:p w:rsidR="006E5161" w:rsidRPr="009B2A0E" w:rsidRDefault="006E5161" w:rsidP="006E5161">
          <w:pPr>
            <w:pStyle w:val="Footer"/>
            <w:rPr>
              <w:lang w:val="en-US"/>
            </w:rPr>
          </w:pPr>
          <w:proofErr w:type="gramStart"/>
          <w:r>
            <w:rPr>
              <w:sz w:val="15"/>
              <w:szCs w:val="15"/>
            </w:rPr>
            <w:t>αρ</w:t>
          </w:r>
          <w:r w:rsidRPr="009B2A0E">
            <w:rPr>
              <w:sz w:val="15"/>
              <w:szCs w:val="15"/>
              <w:lang w:val="en-US"/>
            </w:rPr>
            <w:t>.</w:t>
          </w:r>
          <w:r>
            <w:rPr>
              <w:sz w:val="15"/>
              <w:szCs w:val="15"/>
            </w:rPr>
            <w:t>ΓΕΜΗ</w:t>
          </w:r>
          <w:proofErr w:type="gramEnd"/>
          <w:r w:rsidRPr="009B2A0E">
            <w:rPr>
              <w:sz w:val="15"/>
              <w:szCs w:val="15"/>
              <w:lang w:val="en-US"/>
            </w:rPr>
            <w:t xml:space="preserve"> 002815801000, </w:t>
          </w:r>
          <w:r w:rsidRPr="009B2A0E">
            <w:rPr>
              <w:color w:val="333333"/>
              <w:u w:color="333333"/>
              <w:lang w:val="en-US"/>
            </w:rPr>
            <w:t>MHT.E 0259E81000792401</w:t>
          </w:r>
        </w:p>
        <w:p w:rsidR="006E5161" w:rsidRDefault="006E5161" w:rsidP="006E5161">
          <w:pPr>
            <w:pStyle w:val="Footer"/>
            <w:rPr>
              <w:sz w:val="15"/>
              <w:szCs w:val="15"/>
              <w:lang w:val="en-US"/>
            </w:rPr>
          </w:pPr>
          <w:proofErr w:type="spellStart"/>
          <w:r w:rsidRPr="006E5161">
            <w:rPr>
              <w:b/>
              <w:bCs/>
              <w:lang w:val="en-US"/>
            </w:rPr>
            <w:t>Arval</w:t>
          </w:r>
          <w:proofErr w:type="spellEnd"/>
          <w:r w:rsidRPr="006E5161">
            <w:rPr>
              <w:b/>
              <w:bCs/>
              <w:lang w:val="en-US"/>
            </w:rPr>
            <w:t xml:space="preserve"> Hellas</w:t>
          </w:r>
          <w:r>
            <w:rPr>
              <w:lang w:val="en-US"/>
            </w:rPr>
            <w:t xml:space="preserve"> </w:t>
          </w:r>
          <w:r w:rsidRPr="006E5161">
            <w:rPr>
              <w:b/>
              <w:lang w:val="en-US"/>
            </w:rPr>
            <w:t xml:space="preserve">Single Member </w:t>
          </w:r>
          <w:proofErr w:type="spellStart"/>
          <w:r w:rsidRPr="006E5161">
            <w:rPr>
              <w:b/>
              <w:lang w:val="en-US"/>
            </w:rPr>
            <w:t>Societe</w:t>
          </w:r>
          <w:proofErr w:type="spellEnd"/>
          <w:r w:rsidRPr="006E5161">
            <w:rPr>
              <w:b/>
              <w:lang w:val="en-US"/>
            </w:rPr>
            <w:t xml:space="preserve"> </w:t>
          </w:r>
          <w:proofErr w:type="spellStart"/>
          <w:r w:rsidRPr="006E5161">
            <w:rPr>
              <w:b/>
              <w:lang w:val="en-US"/>
            </w:rPr>
            <w:t>Anonyme</w:t>
          </w:r>
          <w:proofErr w:type="spellEnd"/>
          <w:r w:rsidRPr="006E5161">
            <w:rPr>
              <w:b/>
              <w:lang w:val="en-US"/>
            </w:rPr>
            <w:t xml:space="preserve"> </w:t>
          </w:r>
          <w:r>
            <w:rPr>
              <w:lang w:val="en-US"/>
            </w:rPr>
            <w:t xml:space="preserve">– 9, </w:t>
          </w:r>
          <w:proofErr w:type="spellStart"/>
          <w:r>
            <w:rPr>
              <w:lang w:val="en-US"/>
            </w:rPr>
            <w:t>Kimis</w:t>
          </w:r>
          <w:proofErr w:type="spellEnd"/>
          <w:r>
            <w:rPr>
              <w:lang w:val="en-US"/>
            </w:rPr>
            <w:t xml:space="preserve"> Avenue &amp;10 </w:t>
          </w:r>
          <w:proofErr w:type="spellStart"/>
          <w:r>
            <w:rPr>
              <w:lang w:val="en-US"/>
            </w:rPr>
            <w:t>Seneka</w:t>
          </w:r>
          <w:proofErr w:type="spellEnd"/>
          <w:r>
            <w:rPr>
              <w:lang w:val="en-US"/>
            </w:rPr>
            <w:t xml:space="preserve"> street, 14564 Kifissia, 2108772700, </w:t>
          </w:r>
          <w:hyperlink r:id="rId2" w:history="1">
            <w:r>
              <w:rPr>
                <w:rStyle w:val="Hyperlink0"/>
              </w:rPr>
              <w:t>www.arval.gr</w:t>
            </w:r>
          </w:hyperlink>
          <w:r>
            <w:rPr>
              <w:rStyle w:val="Hyperlink0"/>
            </w:rPr>
            <w:t xml:space="preserve"> </w:t>
          </w:r>
          <w:r w:rsidRPr="009B2A0E">
            <w:rPr>
              <w:color w:val="333333"/>
              <w:u w:color="333333"/>
              <w:lang w:val="en-US"/>
            </w:rPr>
            <w:t>VAT no 0945 01851</w:t>
          </w:r>
          <w:r w:rsidRPr="009B2A0E">
            <w:rPr>
              <w:sz w:val="15"/>
              <w:szCs w:val="15"/>
              <w:lang w:val="en-US"/>
            </w:rPr>
            <w:t xml:space="preserve"> </w:t>
          </w:r>
        </w:p>
        <w:p w:rsidR="006E5161" w:rsidRPr="009B2A0E" w:rsidRDefault="006E5161" w:rsidP="006E5161">
          <w:pPr>
            <w:pStyle w:val="Footer"/>
            <w:rPr>
              <w:sz w:val="15"/>
              <w:szCs w:val="15"/>
              <w:lang w:val="en-US"/>
            </w:rPr>
          </w:pPr>
          <w:r w:rsidRPr="009B2A0E">
            <w:rPr>
              <w:sz w:val="15"/>
              <w:szCs w:val="15"/>
              <w:lang w:val="en-US"/>
            </w:rPr>
            <w:t>GEMI 002815801000</w:t>
          </w:r>
          <w:r w:rsidRPr="009B2A0E">
            <w:rPr>
              <w:color w:val="333333"/>
              <w:u w:color="333333"/>
              <w:lang w:val="en-US"/>
            </w:rPr>
            <w:t xml:space="preserve"> MHT.E 0259E81000792401</w:t>
          </w:r>
        </w:p>
        <w:p w:rsidR="006E5161" w:rsidRPr="009B2A0E" w:rsidRDefault="006E5161" w:rsidP="006E5161">
          <w:pPr>
            <w:pStyle w:val="Footer"/>
            <w:rPr>
              <w:lang w:val="en-US"/>
            </w:rPr>
          </w:pPr>
        </w:p>
        <w:p w:rsidR="006B038E" w:rsidRPr="006B038E" w:rsidRDefault="006B038E" w:rsidP="00A664B9">
          <w:pPr>
            <w:pStyle w:val="Footer"/>
            <w:rPr>
              <w:rFonts w:cs="Arial"/>
              <w:szCs w:val="14"/>
              <w:lang w:val="en-US"/>
            </w:rPr>
          </w:pPr>
        </w:p>
      </w:tc>
    </w:tr>
  </w:tbl>
  <w:p w:rsidR="00A664B9" w:rsidRPr="006B038E" w:rsidRDefault="00A664B9" w:rsidP="00885099">
    <w:pPr>
      <w:pStyle w:val="Footer"/>
      <w:spacing w:before="60"/>
      <w:rPr>
        <w:b/>
        <w:sz w:val="2"/>
        <w:szCs w:val="2"/>
        <w:lang w:val="en-US"/>
      </w:rPr>
    </w:pPr>
  </w:p>
  <w:p w:rsidR="00A664B9" w:rsidRPr="006B038E" w:rsidRDefault="00A664B9" w:rsidP="00885099">
    <w:pPr>
      <w:pStyle w:val="Footer"/>
      <w:spacing w:before="60"/>
      <w:rPr>
        <w:b/>
        <w:sz w:val="2"/>
        <w:szCs w:val="2"/>
        <w:lang w:val="en-US"/>
      </w:rPr>
    </w:pPr>
  </w:p>
  <w:p w:rsidR="00A664B9" w:rsidRPr="006B038E" w:rsidRDefault="00A664B9" w:rsidP="009D6EF5">
    <w:pPr>
      <w:pStyle w:val="Footer"/>
      <w:spacing w:before="60"/>
      <w:rPr>
        <w:b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7E" w:rsidRDefault="004E697E">
      <w:r>
        <w:separator/>
      </w:r>
    </w:p>
  </w:footnote>
  <w:footnote w:type="continuationSeparator" w:id="0">
    <w:p w:rsidR="004E697E" w:rsidRDefault="004E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CB" w:rsidRDefault="00476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B9" w:rsidRDefault="00A664B9"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2D980E1D" wp14:editId="3D623FC2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503555" cy="417830"/>
          <wp:effectExtent l="0" t="0" r="0" b="1270"/>
          <wp:wrapNone/>
          <wp:docPr id="10" name="Image 10" descr="BNPP_BL_Q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NPP_BL_Q_RV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8" t="14265" r="71971" b="1482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B9" w:rsidRDefault="00A664B9" w:rsidP="009D6EF5"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7D34CB6A" wp14:editId="6D6CAED2">
          <wp:simplePos x="0" y="0"/>
          <wp:positionH relativeFrom="column">
            <wp:posOffset>4856480</wp:posOffset>
          </wp:positionH>
          <wp:positionV relativeFrom="paragraph">
            <wp:posOffset>516255</wp:posOffset>
          </wp:positionV>
          <wp:extent cx="1044575" cy="325755"/>
          <wp:effectExtent l="0" t="0" r="0" b="4445"/>
          <wp:wrapThrough wrapText="bothSides">
            <wp:wrapPolygon edited="0">
              <wp:start x="1838" y="0"/>
              <wp:lineTo x="0" y="10947"/>
              <wp:lineTo x="0" y="21053"/>
              <wp:lineTo x="19959" y="21053"/>
              <wp:lineTo x="21272" y="20211"/>
              <wp:lineTo x="21272" y="842"/>
              <wp:lineTo x="9979" y="0"/>
              <wp:lineTo x="1838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onnees:Users:seenk:Desktop:ARVAL_entete_burtiq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7D7B9E4E" wp14:editId="0A750575">
          <wp:simplePos x="0" y="0"/>
          <wp:positionH relativeFrom="column">
            <wp:posOffset>-601980</wp:posOffset>
          </wp:positionH>
          <wp:positionV relativeFrom="paragraph">
            <wp:posOffset>445770</wp:posOffset>
          </wp:positionV>
          <wp:extent cx="2025015" cy="469265"/>
          <wp:effectExtent l="0" t="0" r="6985" b="0"/>
          <wp:wrapThrough wrapText="bothSides">
            <wp:wrapPolygon edited="0">
              <wp:start x="0" y="0"/>
              <wp:lineTo x="0" y="19876"/>
              <wp:lineTo x="5419" y="19876"/>
              <wp:lineTo x="21404" y="18706"/>
              <wp:lineTo x="21404" y="2338"/>
              <wp:lineTo x="5419" y="0"/>
              <wp:lineTo x="0" y="0"/>
            </wp:wrapPolygon>
          </wp:wrapThrough>
          <wp:docPr id="4" name="Image 4" descr="Disque Donnees:Users:seenk:Desktop:ARVAL_entete_burtiq_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que Donnees:Users:seenk:Desktop:ARVAL_entete_burtiq_EN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408"/>
    <w:multiLevelType w:val="hybridMultilevel"/>
    <w:tmpl w:val="F8F6B928"/>
    <w:lvl w:ilvl="0" w:tplc="D1425DD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8A0C95DC">
      <w:numFmt w:val="bullet"/>
      <w:lvlText w:val=""/>
      <w:lvlJc w:val="left"/>
      <w:pPr>
        <w:ind w:left="1156" w:hanging="360"/>
      </w:pPr>
      <w:rPr>
        <w:rFonts w:ascii="Symbol" w:eastAsiaTheme="minorEastAsia" w:hAnsi="Symbol" w:cstheme="minorBidi" w:hint="default"/>
        <w:b w:val="0"/>
        <w:color w:val="1F497D"/>
        <w:sz w:val="22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D915CE"/>
    <w:multiLevelType w:val="multilevel"/>
    <w:tmpl w:val="CF00DC58"/>
    <w:lvl w:ilvl="0">
      <w:start w:val="1"/>
      <w:numFmt w:val="lowerLetter"/>
      <w:lvlText w:val="%1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77"/>
        </w:tabs>
        <w:ind w:left="1117" w:firstLine="0"/>
      </w:pPr>
    </w:lvl>
    <w:lvl w:ilvl="2">
      <w:start w:val="1"/>
      <w:numFmt w:val="decimal"/>
      <w:lvlText w:val="%3."/>
      <w:lvlJc w:val="left"/>
      <w:pPr>
        <w:tabs>
          <w:tab w:val="num" w:pos="2197"/>
        </w:tabs>
        <w:ind w:left="1837" w:firstLine="0"/>
      </w:pPr>
    </w:lvl>
    <w:lvl w:ilvl="3">
      <w:start w:val="1"/>
      <w:numFmt w:val="lowerLetter"/>
      <w:lvlText w:val="%4)"/>
      <w:lvlJc w:val="left"/>
      <w:pPr>
        <w:tabs>
          <w:tab w:val="num" w:pos="2917"/>
        </w:tabs>
        <w:ind w:left="2557" w:firstLine="0"/>
      </w:pPr>
    </w:lvl>
    <w:lvl w:ilvl="4">
      <w:start w:val="1"/>
      <w:numFmt w:val="decimal"/>
      <w:lvlText w:val="(%5)"/>
      <w:lvlJc w:val="left"/>
      <w:pPr>
        <w:tabs>
          <w:tab w:val="num" w:pos="3637"/>
        </w:tabs>
        <w:ind w:left="3277" w:firstLine="0"/>
      </w:pPr>
    </w:lvl>
    <w:lvl w:ilvl="5">
      <w:start w:val="1"/>
      <w:numFmt w:val="lowerLetter"/>
      <w:lvlText w:val="(%6)"/>
      <w:lvlJc w:val="left"/>
      <w:pPr>
        <w:tabs>
          <w:tab w:val="num" w:pos="4357"/>
        </w:tabs>
        <w:ind w:left="3997" w:firstLine="0"/>
      </w:pPr>
    </w:lvl>
    <w:lvl w:ilvl="6">
      <w:start w:val="1"/>
      <w:numFmt w:val="lowerRoman"/>
      <w:lvlText w:val="(%7)"/>
      <w:lvlJc w:val="left"/>
      <w:pPr>
        <w:tabs>
          <w:tab w:val="num" w:pos="5077"/>
        </w:tabs>
        <w:ind w:left="4717" w:firstLine="0"/>
      </w:pPr>
    </w:lvl>
    <w:lvl w:ilvl="7">
      <w:start w:val="1"/>
      <w:numFmt w:val="lowerLetter"/>
      <w:lvlText w:val="(%8)"/>
      <w:lvlJc w:val="left"/>
      <w:pPr>
        <w:tabs>
          <w:tab w:val="num" w:pos="5797"/>
        </w:tabs>
        <w:ind w:left="5437" w:firstLine="0"/>
      </w:pPr>
    </w:lvl>
    <w:lvl w:ilvl="8">
      <w:start w:val="1"/>
      <w:numFmt w:val="lowerRoman"/>
      <w:lvlText w:val="(%9)"/>
      <w:lvlJc w:val="left"/>
      <w:pPr>
        <w:tabs>
          <w:tab w:val="num" w:pos="6517"/>
        </w:tabs>
        <w:ind w:left="6157" w:firstLine="0"/>
      </w:pPr>
    </w:lvl>
  </w:abstractNum>
  <w:abstractNum w:abstractNumId="2" w15:restartNumberingAfterBreak="0">
    <w:nsid w:val="3BD1126C"/>
    <w:multiLevelType w:val="hybridMultilevel"/>
    <w:tmpl w:val="9ED254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21C6B"/>
    <w:multiLevelType w:val="hybridMultilevel"/>
    <w:tmpl w:val="3AC64804"/>
    <w:lvl w:ilvl="0" w:tplc="AF5A82F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Alstom" w:hAnsi="Alstom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5FC"/>
    <w:multiLevelType w:val="hybridMultilevel"/>
    <w:tmpl w:val="4FE21AF8"/>
    <w:lvl w:ilvl="0" w:tplc="CCEE7C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20B4C"/>
    <w:multiLevelType w:val="hybridMultilevel"/>
    <w:tmpl w:val="052EF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474C6"/>
    <w:multiLevelType w:val="hybridMultilevel"/>
    <w:tmpl w:val="2DBE1B76"/>
    <w:lvl w:ilvl="0" w:tplc="0408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D0"/>
    <w:rsid w:val="00117820"/>
    <w:rsid w:val="00177E7E"/>
    <w:rsid w:val="001C4FAD"/>
    <w:rsid w:val="00365AF5"/>
    <w:rsid w:val="0038273A"/>
    <w:rsid w:val="004768CB"/>
    <w:rsid w:val="00485B0B"/>
    <w:rsid w:val="00496DDD"/>
    <w:rsid w:val="004E697E"/>
    <w:rsid w:val="00561683"/>
    <w:rsid w:val="00580312"/>
    <w:rsid w:val="006A5813"/>
    <w:rsid w:val="006B038E"/>
    <w:rsid w:val="006E5161"/>
    <w:rsid w:val="007D6668"/>
    <w:rsid w:val="00873EAC"/>
    <w:rsid w:val="00885099"/>
    <w:rsid w:val="009D6EF5"/>
    <w:rsid w:val="009E1EC3"/>
    <w:rsid w:val="00A664B9"/>
    <w:rsid w:val="00A72B2F"/>
    <w:rsid w:val="00A80328"/>
    <w:rsid w:val="00BE7B21"/>
    <w:rsid w:val="00D1018C"/>
    <w:rsid w:val="00D148CE"/>
    <w:rsid w:val="00D953FA"/>
    <w:rsid w:val="00DC6750"/>
    <w:rsid w:val="00E95C35"/>
    <w:rsid w:val="00E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A6F0C5"/>
  <w14:defaultImageDpi w14:val="300"/>
  <w15:docId w15:val="{61BB0C6B-B671-2541-A8B5-6B1BE064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0C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75B67"/>
    <w:pPr>
      <w:keepNext/>
      <w:spacing w:before="12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C54E37"/>
    <w:pPr>
      <w:tabs>
        <w:tab w:val="right" w:leader="dot" w:pos="9062"/>
      </w:tabs>
      <w:spacing w:before="120" w:line="360" w:lineRule="auto"/>
      <w:ind w:left="403" w:firstLine="397"/>
    </w:pPr>
  </w:style>
  <w:style w:type="paragraph" w:styleId="TOC2">
    <w:name w:val="toc 2"/>
    <w:basedOn w:val="Normal"/>
    <w:next w:val="Normal"/>
    <w:autoRedefine/>
    <w:semiHidden/>
    <w:rsid w:val="00C54E37"/>
    <w:pPr>
      <w:tabs>
        <w:tab w:val="right" w:leader="dot" w:pos="9062"/>
      </w:tabs>
      <w:spacing w:before="180" w:line="360" w:lineRule="auto"/>
      <w:ind w:left="198" w:firstLine="397"/>
    </w:pPr>
    <w:rPr>
      <w:sz w:val="22"/>
      <w:szCs w:val="22"/>
    </w:rPr>
  </w:style>
  <w:style w:type="paragraph" w:styleId="Footer">
    <w:name w:val="footer"/>
    <w:basedOn w:val="Normal"/>
    <w:link w:val="FooterChar"/>
    <w:rsid w:val="00B02D78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paragraph" w:customStyle="1" w:styleId="Entete">
    <w:name w:val="Entete"/>
    <w:basedOn w:val="Normal"/>
    <w:rsid w:val="00912686"/>
    <w:pPr>
      <w:spacing w:after="30" w:line="200" w:lineRule="exact"/>
      <w:jc w:val="left"/>
    </w:pPr>
  </w:style>
  <w:style w:type="paragraph" w:customStyle="1" w:styleId="Destinataire">
    <w:name w:val="Destinataire"/>
    <w:basedOn w:val="Normal"/>
    <w:rsid w:val="00B75E46"/>
    <w:pPr>
      <w:spacing w:after="60" w:line="20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1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99"/>
    <w:rPr>
      <w:rFonts w:ascii="Arial" w:hAnsi="Arial"/>
      <w:sz w:val="14"/>
      <w:szCs w:val="24"/>
    </w:rPr>
  </w:style>
  <w:style w:type="character" w:styleId="Hyperlink">
    <w:name w:val="Hyperlink"/>
    <w:basedOn w:val="DefaultParagraphFont"/>
    <w:uiPriority w:val="99"/>
    <w:unhideWhenUsed/>
    <w:rsid w:val="006B038E"/>
    <w:rPr>
      <w:color w:val="0000FF" w:themeColor="hyperlink"/>
      <w:u w:val="single"/>
    </w:rPr>
  </w:style>
  <w:style w:type="character" w:customStyle="1" w:styleId="Hyperlink0">
    <w:name w:val="Hyperlink.0"/>
    <w:basedOn w:val="DefaultParagraphFont"/>
    <w:rsid w:val="006E5161"/>
    <w:rPr>
      <w:rFonts w:ascii="Arial" w:eastAsia="Arial" w:hAnsi="Arial" w:cs="Arial"/>
      <w:outline w:val="0"/>
      <w:color w:val="0000FF"/>
      <w:u w:val="single" w:color="0000FF"/>
      <w:lang w:val="en-US"/>
    </w:rPr>
  </w:style>
  <w:style w:type="paragraph" w:styleId="ListParagraph">
    <w:name w:val="List Paragraph"/>
    <w:basedOn w:val="Normal"/>
    <w:uiPriority w:val="34"/>
    <w:qFormat/>
    <w:rsid w:val="00561683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val.gr" TargetMode="External"/><Relationship Id="rId1" Type="http://schemas.openxmlformats.org/officeDocument/2006/relationships/hyperlink" Target="http://www.arval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BNPP</vt:lpstr>
      <vt:lpstr>BNPP</vt:lpstr>
    </vt:vector>
  </TitlesOfParts>
  <Company>Microsoft</Company>
  <LinksUpToDate>false</LinksUpToDate>
  <CharactersWithSpaces>4279</CharactersWithSpaces>
  <SharedDoc>false</SharedDoc>
  <HLinks>
    <vt:vector size="12" baseType="variant">
      <vt:variant>
        <vt:i4>655424</vt:i4>
      </vt:variant>
      <vt:variant>
        <vt:i4>-1</vt:i4>
      </vt:variant>
      <vt:variant>
        <vt:i4>2056</vt:i4>
      </vt:variant>
      <vt:variant>
        <vt:i4>1</vt:i4>
      </vt:variant>
      <vt:variant>
        <vt:lpwstr>BNPP_BL_Q_RVB</vt:lpwstr>
      </vt:variant>
      <vt:variant>
        <vt:lpwstr/>
      </vt:variant>
      <vt:variant>
        <vt:i4>655424</vt:i4>
      </vt:variant>
      <vt:variant>
        <vt:i4>-1</vt:i4>
      </vt:variant>
      <vt:variant>
        <vt:i4>2058</vt:i4>
      </vt:variant>
      <vt:variant>
        <vt:i4>1</vt:i4>
      </vt:variant>
      <vt:variant>
        <vt:lpwstr>BNPP_BL_Q_RVB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BNPP</dc:title>
  <dc:creator>Microsoft Office User</dc:creator>
  <cp:lastModifiedBy>KALLERGI Maria</cp:lastModifiedBy>
  <cp:revision>2</cp:revision>
  <cp:lastPrinted>2008-12-12T09:02:00Z</cp:lastPrinted>
  <dcterms:created xsi:type="dcterms:W3CDTF">2023-10-12T18:41:00Z</dcterms:created>
  <dcterms:modified xsi:type="dcterms:W3CDTF">2023-10-12T18:41:00Z</dcterms:modified>
</cp:coreProperties>
</file>